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F9" w:rsidRDefault="00B71BF9" w:rsidP="00B71BF9">
      <w:pPr>
        <w:autoSpaceDE w:val="0"/>
        <w:autoSpaceDN w:val="0"/>
        <w:adjustRightInd w:val="0"/>
        <w:rPr>
          <w:rFonts w:ascii="Georgia" w:eastAsia="Times New Roman" w:hAnsi="Georgia" w:cs="Times New Roman"/>
          <w:b/>
          <w:sz w:val="23"/>
          <w:szCs w:val="23"/>
        </w:rPr>
      </w:pPr>
    </w:p>
    <w:p w:rsidR="00B71BF9" w:rsidRPr="00CD2321" w:rsidRDefault="00B71BF9" w:rsidP="00B71BF9">
      <w:pPr>
        <w:autoSpaceDE w:val="0"/>
        <w:autoSpaceDN w:val="0"/>
        <w:adjustRightInd w:val="0"/>
        <w:rPr>
          <w:rFonts w:ascii="Georgia" w:eastAsia="Times New Roman" w:hAnsi="Georgia" w:cs="Times New Roman"/>
          <w:sz w:val="23"/>
          <w:szCs w:val="23"/>
        </w:rPr>
      </w:pPr>
      <w:r>
        <w:rPr>
          <w:rFonts w:ascii="Georgia" w:eastAsia="Times New Roman" w:hAnsi="Georgia" w:cs="Times New Roman"/>
          <w:b/>
          <w:sz w:val="23"/>
          <w:szCs w:val="23"/>
        </w:rPr>
        <w:t xml:space="preserve">Resident Friendly </w:t>
      </w:r>
      <w:r w:rsidRPr="00CD2321">
        <w:rPr>
          <w:rFonts w:ascii="Georgia" w:eastAsia="Times New Roman" w:hAnsi="Georgia" w:cs="Times New Roman"/>
          <w:b/>
          <w:sz w:val="23"/>
          <w:szCs w:val="23"/>
        </w:rPr>
        <w:t>Compliance</w:t>
      </w:r>
      <w:r>
        <w:rPr>
          <w:rFonts w:ascii="Georgia" w:eastAsia="Times New Roman" w:hAnsi="Georgia" w:cs="Times New Roman"/>
          <w:b/>
          <w:sz w:val="23"/>
          <w:szCs w:val="23"/>
        </w:rPr>
        <w:t xml:space="preserve"> Strategies</w:t>
      </w:r>
    </w:p>
    <w:p w:rsidR="00B71BF9" w:rsidRPr="00CD2321" w:rsidRDefault="00B71BF9" w:rsidP="00B71BF9">
      <w:pPr>
        <w:rPr>
          <w:rFonts w:ascii="Georgia" w:eastAsia="Times New Roman" w:hAnsi="Georgia" w:cs="Times New Roman"/>
          <w:sz w:val="23"/>
          <w:szCs w:val="23"/>
        </w:rPr>
      </w:pPr>
      <w:r w:rsidRPr="00CD2321">
        <w:rPr>
          <w:rFonts w:ascii="Georgia" w:eastAsia="Times New Roman" w:hAnsi="Georgia" w:cs="Times New Roman"/>
          <w:sz w:val="23"/>
          <w:szCs w:val="23"/>
        </w:rPr>
        <w:t xml:space="preserve">Most </w:t>
      </w:r>
      <w:proofErr w:type="spellStart"/>
      <w:r>
        <w:rPr>
          <w:rFonts w:ascii="Georgia" w:eastAsia="Times New Roman" w:hAnsi="Georgia" w:cs="Times New Roman"/>
          <w:sz w:val="23"/>
          <w:szCs w:val="23"/>
        </w:rPr>
        <w:t>smokefree</w:t>
      </w:r>
      <w:proofErr w:type="spellEnd"/>
      <w:r>
        <w:rPr>
          <w:rFonts w:ascii="Georgia" w:eastAsia="Times New Roman" w:hAnsi="Georgia" w:cs="Times New Roman"/>
          <w:sz w:val="23"/>
          <w:szCs w:val="23"/>
        </w:rPr>
        <w:t xml:space="preserve"> policies</w:t>
      </w:r>
      <w:r w:rsidRPr="00CD2321">
        <w:rPr>
          <w:rFonts w:ascii="Georgia" w:eastAsia="Times New Roman" w:hAnsi="Georgia" w:cs="Times New Roman"/>
          <w:sz w:val="23"/>
          <w:szCs w:val="23"/>
        </w:rPr>
        <w:t xml:space="preserve"> are self-enforcing. Residents can be your greatest allies. If a resident complains about being bothered by smoke or knows of another resident who has violated the policy, document the facts and resolve the matter. Treat violations of the no-smoking policy like any other lease violation. Lack of enforcement with one resident may hamper enforcement with other residents. Prompt, consistent action will send a clear message to everyone in your property that smoking is not allowed. </w:t>
      </w:r>
    </w:p>
    <w:p w:rsidR="00B71BF9" w:rsidRPr="00CD2321" w:rsidRDefault="00B71BF9" w:rsidP="00B71BF9">
      <w:pPr>
        <w:rPr>
          <w:rFonts w:ascii="Georgia" w:eastAsia="Times New Roman" w:hAnsi="Georgia" w:cs="Times New Roman"/>
          <w:sz w:val="23"/>
          <w:szCs w:val="23"/>
        </w:rPr>
      </w:pPr>
      <w:r w:rsidRPr="00CD2321">
        <w:rPr>
          <w:rFonts w:ascii="Georgia" w:eastAsia="Times New Roman" w:hAnsi="Georgia" w:cs="Times New Roman"/>
          <w:b/>
          <w:sz w:val="23"/>
          <w:szCs w:val="23"/>
        </w:rPr>
        <w:t> </w:t>
      </w:r>
    </w:p>
    <w:p w:rsidR="00B71BF9" w:rsidRPr="00CD2321" w:rsidRDefault="00B71BF9" w:rsidP="00B71BF9">
      <w:pPr>
        <w:rPr>
          <w:rFonts w:ascii="Georgia" w:eastAsia="Times New Roman" w:hAnsi="Georgia" w:cs="Times New Roman"/>
          <w:sz w:val="23"/>
          <w:szCs w:val="23"/>
        </w:rPr>
      </w:pPr>
      <w:r w:rsidRPr="00CD2321">
        <w:rPr>
          <w:rFonts w:ascii="Georgia" w:eastAsia="Times New Roman" w:hAnsi="Georgia" w:cs="Times New Roman"/>
          <w:b/>
          <w:sz w:val="23"/>
          <w:szCs w:val="23"/>
        </w:rPr>
        <w:t>Compliance Steps</w:t>
      </w:r>
    </w:p>
    <w:p w:rsidR="00B71BF9" w:rsidRPr="00CD2321" w:rsidRDefault="00B71BF9" w:rsidP="00B71BF9">
      <w:pPr>
        <w:ind w:left="720" w:hanging="360"/>
        <w:rPr>
          <w:rFonts w:ascii="Georgia" w:eastAsia="Times New Roman" w:hAnsi="Georgia" w:cs="Times New Roman"/>
          <w:sz w:val="23"/>
          <w:szCs w:val="23"/>
        </w:rPr>
      </w:pPr>
      <w:r w:rsidRPr="00CD2321">
        <w:rPr>
          <w:rFonts w:ascii="Georgia" w:hAnsi="Georgia" w:cstheme="minorHAnsi"/>
          <w:sz w:val="23"/>
          <w:szCs w:val="23"/>
        </w:rPr>
        <w:t>1.</w:t>
      </w:r>
      <w:r w:rsidRPr="00CD2321">
        <w:rPr>
          <w:rFonts w:ascii="Georgia" w:hAnsi="Georgia" w:cs="Times New Roman"/>
          <w:sz w:val="23"/>
          <w:szCs w:val="23"/>
        </w:rPr>
        <w:t xml:space="preserve">   Start with a verbal meeting with the resident who is violating the policy.  A resident complaint may prompt a “knock and talk”.  The resident does not have to answer the door, nor do they have to let you in, but if the door opens, it is an opportunity to have a friendly talk about the </w:t>
      </w:r>
      <w:proofErr w:type="spellStart"/>
      <w:r>
        <w:rPr>
          <w:rFonts w:ascii="Georgia" w:hAnsi="Georgia" w:cs="Times New Roman"/>
          <w:sz w:val="23"/>
          <w:szCs w:val="23"/>
        </w:rPr>
        <w:t>smokefree</w:t>
      </w:r>
      <w:proofErr w:type="spellEnd"/>
      <w:r>
        <w:rPr>
          <w:rFonts w:ascii="Georgia" w:hAnsi="Georgia" w:cs="Times New Roman"/>
          <w:sz w:val="23"/>
          <w:szCs w:val="23"/>
        </w:rPr>
        <w:t xml:space="preserve"> policy</w:t>
      </w:r>
      <w:r w:rsidRPr="00CD2321">
        <w:rPr>
          <w:rFonts w:ascii="Georgia" w:hAnsi="Georgia" w:cs="Times New Roman"/>
          <w:sz w:val="23"/>
          <w:szCs w:val="23"/>
        </w:rPr>
        <w:t xml:space="preserve">.  Document the visit and whether or not you smelled smoke inside the unit. </w:t>
      </w:r>
    </w:p>
    <w:p w:rsidR="00B71BF9" w:rsidRPr="00CD2321" w:rsidRDefault="00B71BF9" w:rsidP="00B71BF9">
      <w:pPr>
        <w:ind w:left="720" w:hanging="360"/>
        <w:rPr>
          <w:rFonts w:ascii="Georgia" w:eastAsia="Times New Roman" w:hAnsi="Georgia" w:cs="Times New Roman"/>
          <w:sz w:val="23"/>
          <w:szCs w:val="23"/>
        </w:rPr>
      </w:pPr>
      <w:r w:rsidRPr="00CD2321">
        <w:rPr>
          <w:rFonts w:ascii="Georgia" w:hAnsi="Georgia" w:cstheme="minorHAnsi"/>
          <w:sz w:val="23"/>
          <w:szCs w:val="23"/>
        </w:rPr>
        <w:t>2.</w:t>
      </w:r>
      <w:r w:rsidRPr="00CD2321">
        <w:rPr>
          <w:rFonts w:ascii="Georgia" w:hAnsi="Georgia" w:cs="Times New Roman"/>
          <w:sz w:val="23"/>
          <w:szCs w:val="23"/>
        </w:rPr>
        <w:t xml:space="preserve">   Follow-up the visit with a letter acknowledging the conversation and the outcome – see Sample Friendly Warning Letter. </w:t>
      </w:r>
    </w:p>
    <w:p w:rsidR="00B71BF9" w:rsidRPr="00CD2321" w:rsidRDefault="00B71BF9" w:rsidP="00B71BF9">
      <w:pPr>
        <w:ind w:left="720" w:hanging="360"/>
        <w:rPr>
          <w:rFonts w:ascii="Georgia" w:eastAsia="Times New Roman" w:hAnsi="Georgia" w:cs="Times New Roman"/>
          <w:sz w:val="23"/>
          <w:szCs w:val="23"/>
        </w:rPr>
      </w:pPr>
      <w:r w:rsidRPr="00CD2321">
        <w:rPr>
          <w:rFonts w:ascii="Georgia" w:hAnsi="Georgia" w:cstheme="minorHAnsi"/>
          <w:sz w:val="23"/>
          <w:szCs w:val="23"/>
        </w:rPr>
        <w:t>3.</w:t>
      </w:r>
      <w:r w:rsidRPr="00CD2321">
        <w:rPr>
          <w:rFonts w:ascii="Georgia" w:hAnsi="Georgia" w:cs="Times New Roman"/>
          <w:sz w:val="23"/>
          <w:szCs w:val="23"/>
        </w:rPr>
        <w:t> </w:t>
      </w:r>
      <w:r>
        <w:rPr>
          <w:rFonts w:ascii="Georgia" w:hAnsi="Georgia" w:cs="Times New Roman"/>
          <w:sz w:val="23"/>
          <w:szCs w:val="23"/>
        </w:rPr>
        <w:t xml:space="preserve"> </w:t>
      </w:r>
      <w:r w:rsidRPr="00CD2321">
        <w:rPr>
          <w:rFonts w:ascii="Georgia" w:hAnsi="Georgia" w:cs="Times New Roman"/>
          <w:sz w:val="23"/>
          <w:szCs w:val="23"/>
        </w:rPr>
        <w:t xml:space="preserve"> If the problem repeats, send a First Written Violation letter to the resident – see Sample Violation Warning Letter.</w:t>
      </w:r>
    </w:p>
    <w:p w:rsidR="00B71BF9" w:rsidRPr="00CD2321" w:rsidRDefault="00B71BF9" w:rsidP="00B71BF9">
      <w:pPr>
        <w:ind w:left="720" w:hanging="360"/>
        <w:rPr>
          <w:rFonts w:ascii="Georgia" w:eastAsia="Times New Roman" w:hAnsi="Georgia" w:cs="Times New Roman"/>
          <w:sz w:val="23"/>
          <w:szCs w:val="23"/>
        </w:rPr>
      </w:pPr>
      <w:r w:rsidRPr="00CD2321">
        <w:rPr>
          <w:rFonts w:ascii="Georgia" w:hAnsi="Georgia" w:cstheme="minorHAnsi"/>
          <w:sz w:val="23"/>
          <w:szCs w:val="23"/>
        </w:rPr>
        <w:t>4.</w:t>
      </w:r>
      <w:r w:rsidRPr="00CD2321">
        <w:rPr>
          <w:rFonts w:ascii="Georgia" w:hAnsi="Georgia" w:cs="Times New Roman"/>
          <w:sz w:val="23"/>
          <w:szCs w:val="23"/>
        </w:rPr>
        <w:t>  </w:t>
      </w:r>
      <w:r>
        <w:rPr>
          <w:rFonts w:ascii="Georgia" w:hAnsi="Georgia" w:cs="Times New Roman"/>
          <w:sz w:val="23"/>
          <w:szCs w:val="23"/>
        </w:rPr>
        <w:t xml:space="preserve"> </w:t>
      </w:r>
      <w:r w:rsidRPr="00CD2321">
        <w:rPr>
          <w:rFonts w:ascii="Georgia" w:hAnsi="Georgia" w:cs="Times New Roman"/>
          <w:sz w:val="23"/>
          <w:szCs w:val="23"/>
        </w:rPr>
        <w:t>Depending on the circumstances, a repeat violatio</w:t>
      </w:r>
      <w:r>
        <w:rPr>
          <w:rFonts w:ascii="Georgia" w:hAnsi="Georgia" w:cs="Times New Roman"/>
          <w:sz w:val="23"/>
          <w:szCs w:val="23"/>
        </w:rPr>
        <w:t xml:space="preserve">n may result in a final written </w:t>
      </w:r>
      <w:r w:rsidRPr="00CD2321">
        <w:rPr>
          <w:rFonts w:ascii="Georgia" w:hAnsi="Georgia" w:cs="Times New Roman"/>
          <w:sz w:val="23"/>
          <w:szCs w:val="23"/>
        </w:rPr>
        <w:t xml:space="preserve">violation letter. </w:t>
      </w:r>
    </w:p>
    <w:p w:rsidR="00B71BF9" w:rsidRPr="00CD2321" w:rsidRDefault="00B71BF9" w:rsidP="00B71BF9">
      <w:pPr>
        <w:ind w:left="720" w:hanging="360"/>
        <w:rPr>
          <w:rFonts w:ascii="Georgia" w:eastAsia="Times New Roman" w:hAnsi="Georgia" w:cs="Times New Roman"/>
          <w:sz w:val="23"/>
          <w:szCs w:val="23"/>
        </w:rPr>
      </w:pPr>
      <w:r w:rsidRPr="00CD2321">
        <w:rPr>
          <w:rFonts w:ascii="Georgia" w:hAnsi="Georgia" w:cstheme="minorHAnsi"/>
          <w:sz w:val="23"/>
          <w:szCs w:val="23"/>
        </w:rPr>
        <w:t>5.</w:t>
      </w:r>
      <w:r w:rsidRPr="00CD2321">
        <w:rPr>
          <w:rFonts w:ascii="Georgia" w:hAnsi="Georgia" w:cs="Times New Roman"/>
          <w:sz w:val="23"/>
          <w:szCs w:val="23"/>
        </w:rPr>
        <w:t xml:space="preserve">  </w:t>
      </w:r>
      <w:r>
        <w:rPr>
          <w:rFonts w:ascii="Georgia" w:hAnsi="Georgia" w:cs="Times New Roman"/>
          <w:sz w:val="23"/>
          <w:szCs w:val="23"/>
        </w:rPr>
        <w:t xml:space="preserve"> </w:t>
      </w:r>
      <w:r w:rsidRPr="00CD2321">
        <w:rPr>
          <w:rFonts w:ascii="Georgia" w:hAnsi="Georgia" w:cs="Times New Roman"/>
          <w:sz w:val="23"/>
          <w:szCs w:val="23"/>
        </w:rPr>
        <w:t>If the violation persists, issue a termination notice.</w:t>
      </w:r>
    </w:p>
    <w:p w:rsidR="00B71BF9" w:rsidRPr="00CD2321" w:rsidRDefault="00B71BF9" w:rsidP="00B71BF9">
      <w:pPr>
        <w:ind w:left="720" w:hanging="360"/>
        <w:rPr>
          <w:rFonts w:ascii="Georgia" w:eastAsia="Times New Roman" w:hAnsi="Georgia" w:cs="Times New Roman"/>
          <w:sz w:val="23"/>
          <w:szCs w:val="23"/>
        </w:rPr>
      </w:pPr>
      <w:r w:rsidRPr="00CD2321">
        <w:rPr>
          <w:rFonts w:ascii="Georgia" w:hAnsi="Georgia" w:cstheme="minorHAnsi"/>
          <w:sz w:val="23"/>
          <w:szCs w:val="23"/>
        </w:rPr>
        <w:t>6.</w:t>
      </w:r>
      <w:r w:rsidRPr="00CD2321">
        <w:rPr>
          <w:rFonts w:ascii="Georgia" w:hAnsi="Georgia" w:cs="Times New Roman"/>
          <w:sz w:val="23"/>
          <w:szCs w:val="23"/>
        </w:rPr>
        <w:t> </w:t>
      </w:r>
      <w:r>
        <w:rPr>
          <w:rFonts w:ascii="Georgia" w:hAnsi="Georgia" w:cs="Times New Roman"/>
          <w:sz w:val="23"/>
          <w:szCs w:val="23"/>
        </w:rPr>
        <w:t xml:space="preserve"> </w:t>
      </w:r>
      <w:r w:rsidRPr="00CD2321">
        <w:rPr>
          <w:rFonts w:ascii="Georgia" w:hAnsi="Georgia" w:cs="Times New Roman"/>
          <w:sz w:val="23"/>
          <w:szCs w:val="23"/>
        </w:rPr>
        <w:t> If the resident remedies the situation initially but then smoking problem begins again within six months of the termination process, an immediate termination can be issued.</w:t>
      </w:r>
    </w:p>
    <w:p w:rsidR="00B71BF9" w:rsidRPr="00CD2321" w:rsidRDefault="00B71BF9" w:rsidP="00B71BF9">
      <w:pPr>
        <w:autoSpaceDE w:val="0"/>
        <w:autoSpaceDN w:val="0"/>
        <w:adjustRightInd w:val="0"/>
        <w:rPr>
          <w:rFonts w:ascii="Georgia" w:hAnsi="Georgia" w:cs="Candara"/>
          <w:sz w:val="23"/>
          <w:szCs w:val="23"/>
        </w:rPr>
      </w:pPr>
    </w:p>
    <w:p w:rsidR="00B71BF9" w:rsidRPr="00BD6A1C" w:rsidRDefault="00B71BF9" w:rsidP="00B71BF9">
      <w:pPr>
        <w:autoSpaceDE w:val="0"/>
        <w:autoSpaceDN w:val="0"/>
        <w:adjustRightInd w:val="0"/>
        <w:rPr>
          <w:rFonts w:ascii="Georgia" w:hAnsi="Georgia" w:cs="Candara"/>
          <w:b/>
          <w:sz w:val="23"/>
          <w:szCs w:val="23"/>
        </w:rPr>
      </w:pPr>
      <w:r w:rsidRPr="00CD2321">
        <w:rPr>
          <w:rFonts w:ascii="Georgia" w:hAnsi="Georgia" w:cs="Candara"/>
          <w:b/>
          <w:sz w:val="23"/>
          <w:szCs w:val="23"/>
        </w:rPr>
        <w:t>Sample Compliance Plan</w:t>
      </w:r>
    </w:p>
    <w:p w:rsidR="00B71BF9" w:rsidRPr="002D21AF" w:rsidRDefault="00B71BF9" w:rsidP="00B71BF9">
      <w:pPr>
        <w:rPr>
          <w:rFonts w:ascii="Georgia" w:hAnsi="Georgia"/>
          <w:sz w:val="23"/>
          <w:szCs w:val="23"/>
        </w:rPr>
      </w:pPr>
      <w:r w:rsidRPr="002D21AF">
        <w:rPr>
          <w:rFonts w:ascii="Georgia" w:eastAsia="Times New Roman" w:hAnsi="Georgia" w:cs="Arial"/>
          <w:sz w:val="23"/>
          <w:szCs w:val="23"/>
        </w:rPr>
        <w:t xml:space="preserve">As previously </w:t>
      </w:r>
      <w:proofErr w:type="gramStart"/>
      <w:r w:rsidRPr="002D21AF">
        <w:rPr>
          <w:rFonts w:ascii="Georgia" w:eastAsia="Times New Roman" w:hAnsi="Georgia" w:cs="Arial"/>
          <w:sz w:val="23"/>
          <w:szCs w:val="23"/>
        </w:rPr>
        <w:t>mentioned,</w:t>
      </w:r>
      <w:proofErr w:type="gramEnd"/>
      <w:r w:rsidRPr="002D21AF">
        <w:rPr>
          <w:rFonts w:ascii="Georgia" w:eastAsia="Times New Roman" w:hAnsi="Georgia" w:cs="Arial"/>
          <w:sz w:val="23"/>
          <w:szCs w:val="23"/>
        </w:rPr>
        <w:t xml:space="preserve"> a </w:t>
      </w:r>
      <w:proofErr w:type="spellStart"/>
      <w:r>
        <w:rPr>
          <w:rFonts w:ascii="Georgia" w:eastAsia="Times New Roman" w:hAnsi="Georgia" w:cs="Arial"/>
          <w:sz w:val="23"/>
          <w:szCs w:val="23"/>
        </w:rPr>
        <w:t>Smokefree</w:t>
      </w:r>
      <w:proofErr w:type="spellEnd"/>
      <w:r w:rsidRPr="002D21AF">
        <w:rPr>
          <w:rFonts w:ascii="Georgia" w:eastAsia="Times New Roman" w:hAnsi="Georgia" w:cs="Arial"/>
          <w:sz w:val="23"/>
          <w:szCs w:val="23"/>
        </w:rPr>
        <w:t xml:space="preserve"> violation is a lease violation and requires an organization to react appropriately. Property owners are encouraged to help residents change their smoking behavior and keep their housing.   As a result, p</w:t>
      </w:r>
      <w:r w:rsidRPr="002D21AF">
        <w:rPr>
          <w:rFonts w:ascii="Georgia" w:hAnsi="Georgia"/>
          <w:sz w:val="23"/>
          <w:szCs w:val="23"/>
        </w:rPr>
        <w:t xml:space="preserve">olicies should be written and implemented in a way that minimizes the chances that multi-unit housing residents are evicted for violations. </w:t>
      </w:r>
    </w:p>
    <w:p w:rsidR="00B71BF9" w:rsidRPr="002D21AF" w:rsidRDefault="00B71BF9" w:rsidP="00B71BF9">
      <w:pPr>
        <w:rPr>
          <w:rFonts w:ascii="Georgia" w:hAnsi="Georgia"/>
          <w:sz w:val="23"/>
          <w:szCs w:val="23"/>
        </w:rPr>
      </w:pPr>
    </w:p>
    <w:p w:rsidR="00B71BF9" w:rsidRPr="002D21AF" w:rsidRDefault="00B71BF9" w:rsidP="00B71BF9">
      <w:pPr>
        <w:rPr>
          <w:rFonts w:ascii="Georgia" w:eastAsia="Times New Roman" w:hAnsi="Georgia" w:cs="Arial"/>
          <w:sz w:val="23"/>
          <w:szCs w:val="23"/>
        </w:rPr>
      </w:pPr>
      <w:r w:rsidRPr="002D21AF">
        <w:rPr>
          <w:rFonts w:ascii="Georgia" w:eastAsia="Times New Roman" w:hAnsi="Georgia" w:cs="Arial"/>
          <w:sz w:val="23"/>
          <w:szCs w:val="23"/>
        </w:rPr>
        <w:t>This strategy may involve resident services or Breathe DC staff providing cessation materials, or a private meeting between the resident and the property manager to discover the reason for the policy violation.  Whatever the strategy e</w:t>
      </w:r>
      <w:r w:rsidRPr="002D21AF">
        <w:rPr>
          <w:rFonts w:ascii="Georgia" w:hAnsi="Georgia"/>
          <w:sz w:val="23"/>
          <w:szCs w:val="23"/>
        </w:rPr>
        <w:t>fforts should be made to ensure residents who do smoke have access to smoking cessation resources and given the opportunity to quit, if they choose.</w:t>
      </w:r>
    </w:p>
    <w:p w:rsidR="00B71BF9" w:rsidRPr="002D21AF" w:rsidRDefault="00B71BF9" w:rsidP="00B71BF9">
      <w:pPr>
        <w:rPr>
          <w:rFonts w:ascii="Georgia" w:eastAsia="Times New Roman" w:hAnsi="Georgia" w:cs="Arial"/>
          <w:sz w:val="23"/>
          <w:szCs w:val="23"/>
        </w:rPr>
      </w:pPr>
    </w:p>
    <w:tbl>
      <w:tblPr>
        <w:tblStyle w:val="TableGrid"/>
        <w:tblW w:w="0" w:type="auto"/>
        <w:tblLook w:val="04A0" w:firstRow="1" w:lastRow="0" w:firstColumn="1" w:lastColumn="0" w:noHBand="0" w:noVBand="1"/>
      </w:tblPr>
      <w:tblGrid>
        <w:gridCol w:w="2358"/>
        <w:gridCol w:w="7218"/>
      </w:tblGrid>
      <w:tr w:rsidR="00B71BF9" w:rsidRPr="002D21AF" w:rsidTr="0027039D">
        <w:tc>
          <w:tcPr>
            <w:tcW w:w="2358" w:type="dxa"/>
          </w:tcPr>
          <w:p w:rsidR="00B71BF9" w:rsidRPr="002D21AF" w:rsidRDefault="00B71BF9" w:rsidP="0027039D">
            <w:pPr>
              <w:rPr>
                <w:rFonts w:ascii="Georgia" w:eastAsia="Times New Roman" w:hAnsi="Georgia" w:cs="Arial"/>
                <w:sz w:val="23"/>
                <w:szCs w:val="23"/>
              </w:rPr>
            </w:pPr>
            <w:r w:rsidRPr="002D21AF">
              <w:rPr>
                <w:rFonts w:ascii="Georgia" w:eastAsia="Times New Roman" w:hAnsi="Georgia" w:cs="Arial"/>
                <w:sz w:val="23"/>
                <w:szCs w:val="23"/>
              </w:rPr>
              <w:t>1st Violation</w:t>
            </w:r>
          </w:p>
        </w:tc>
        <w:tc>
          <w:tcPr>
            <w:tcW w:w="7218" w:type="dxa"/>
          </w:tcPr>
          <w:p w:rsidR="00B71BF9" w:rsidRPr="002D21AF" w:rsidRDefault="00B71BF9" w:rsidP="0027039D">
            <w:pPr>
              <w:rPr>
                <w:rFonts w:ascii="Georgia" w:eastAsia="Times New Roman" w:hAnsi="Georgia" w:cs="Arial"/>
                <w:sz w:val="23"/>
                <w:szCs w:val="23"/>
              </w:rPr>
            </w:pPr>
            <w:r w:rsidRPr="002D21AF">
              <w:rPr>
                <w:rFonts w:ascii="Georgia" w:eastAsia="Times New Roman" w:hAnsi="Georgia" w:cs="Arial"/>
                <w:sz w:val="23"/>
                <w:szCs w:val="23"/>
              </w:rPr>
              <w:t>Verbal Warning and Cessation Materials</w:t>
            </w:r>
          </w:p>
        </w:tc>
      </w:tr>
      <w:tr w:rsidR="00B71BF9" w:rsidRPr="002D21AF" w:rsidTr="0027039D">
        <w:tc>
          <w:tcPr>
            <w:tcW w:w="2358" w:type="dxa"/>
          </w:tcPr>
          <w:p w:rsidR="00B71BF9" w:rsidRPr="002D21AF" w:rsidRDefault="00B71BF9" w:rsidP="0027039D">
            <w:pPr>
              <w:rPr>
                <w:rFonts w:ascii="Georgia" w:eastAsia="Times New Roman" w:hAnsi="Georgia" w:cs="Arial"/>
                <w:sz w:val="23"/>
                <w:szCs w:val="23"/>
              </w:rPr>
            </w:pPr>
            <w:r w:rsidRPr="002D21AF">
              <w:rPr>
                <w:rFonts w:ascii="Georgia" w:eastAsia="Times New Roman" w:hAnsi="Georgia" w:cs="Arial"/>
                <w:sz w:val="23"/>
                <w:szCs w:val="23"/>
              </w:rPr>
              <w:t>2nd Violation</w:t>
            </w:r>
          </w:p>
        </w:tc>
        <w:tc>
          <w:tcPr>
            <w:tcW w:w="7218" w:type="dxa"/>
          </w:tcPr>
          <w:p w:rsidR="00B71BF9" w:rsidRPr="002D21AF" w:rsidRDefault="00B71BF9" w:rsidP="0027039D">
            <w:pPr>
              <w:rPr>
                <w:rFonts w:ascii="Georgia" w:eastAsia="Times New Roman" w:hAnsi="Georgia" w:cs="Arial"/>
                <w:sz w:val="23"/>
                <w:szCs w:val="23"/>
              </w:rPr>
            </w:pPr>
            <w:r w:rsidRPr="002D21AF">
              <w:rPr>
                <w:rFonts w:ascii="Georgia" w:eastAsia="Times New Roman" w:hAnsi="Georgia" w:cs="Arial"/>
                <w:sz w:val="23"/>
                <w:szCs w:val="23"/>
              </w:rPr>
              <w:t>Verbal Warning, Cessation Materials, Resident Service Referral</w:t>
            </w:r>
          </w:p>
        </w:tc>
      </w:tr>
      <w:tr w:rsidR="00B71BF9" w:rsidRPr="002D21AF" w:rsidTr="0027039D">
        <w:tc>
          <w:tcPr>
            <w:tcW w:w="2358" w:type="dxa"/>
          </w:tcPr>
          <w:p w:rsidR="00B71BF9" w:rsidRPr="002D21AF" w:rsidRDefault="00B71BF9" w:rsidP="0027039D">
            <w:pPr>
              <w:rPr>
                <w:rFonts w:ascii="Georgia" w:eastAsia="Times New Roman" w:hAnsi="Georgia" w:cs="Arial"/>
                <w:sz w:val="23"/>
                <w:szCs w:val="23"/>
              </w:rPr>
            </w:pPr>
            <w:r w:rsidRPr="002D21AF">
              <w:rPr>
                <w:rFonts w:ascii="Georgia" w:eastAsia="Times New Roman" w:hAnsi="Georgia" w:cs="Arial"/>
                <w:sz w:val="23"/>
                <w:szCs w:val="23"/>
              </w:rPr>
              <w:t>3rd Violation</w:t>
            </w:r>
            <w:r w:rsidRPr="002D21AF">
              <w:rPr>
                <w:rFonts w:ascii="Georgia" w:eastAsia="Times New Roman" w:hAnsi="Georgia" w:cs="Arial"/>
                <w:sz w:val="23"/>
                <w:szCs w:val="23"/>
              </w:rPr>
              <w:tab/>
            </w:r>
          </w:p>
        </w:tc>
        <w:tc>
          <w:tcPr>
            <w:tcW w:w="7218" w:type="dxa"/>
          </w:tcPr>
          <w:p w:rsidR="00B71BF9" w:rsidRPr="002D21AF" w:rsidRDefault="00B71BF9" w:rsidP="0027039D">
            <w:pPr>
              <w:rPr>
                <w:rFonts w:ascii="Georgia" w:eastAsia="Times New Roman" w:hAnsi="Georgia" w:cs="Arial"/>
                <w:sz w:val="23"/>
                <w:szCs w:val="23"/>
              </w:rPr>
            </w:pPr>
            <w:r w:rsidRPr="002D21AF">
              <w:rPr>
                <w:rFonts w:ascii="Georgia" w:eastAsia="Times New Roman" w:hAnsi="Georgia" w:cs="Arial"/>
                <w:sz w:val="23"/>
                <w:szCs w:val="23"/>
              </w:rPr>
              <w:t>Written Warning, Cessation Materials, Resident Service Referral</w:t>
            </w:r>
          </w:p>
        </w:tc>
      </w:tr>
      <w:tr w:rsidR="00B71BF9" w:rsidRPr="002D21AF" w:rsidTr="0027039D">
        <w:tc>
          <w:tcPr>
            <w:tcW w:w="2358" w:type="dxa"/>
          </w:tcPr>
          <w:p w:rsidR="00B71BF9" w:rsidRPr="002D21AF" w:rsidRDefault="00B71BF9" w:rsidP="0027039D">
            <w:pPr>
              <w:rPr>
                <w:rFonts w:ascii="Georgia" w:eastAsia="Times New Roman" w:hAnsi="Georgia" w:cs="Arial"/>
                <w:sz w:val="23"/>
                <w:szCs w:val="23"/>
              </w:rPr>
            </w:pPr>
            <w:r>
              <w:rPr>
                <w:rFonts w:ascii="Georgia" w:eastAsia="Times New Roman" w:hAnsi="Georgia" w:cs="Arial"/>
                <w:sz w:val="23"/>
                <w:szCs w:val="23"/>
              </w:rPr>
              <w:t>4th Violation</w:t>
            </w:r>
          </w:p>
        </w:tc>
        <w:tc>
          <w:tcPr>
            <w:tcW w:w="7218" w:type="dxa"/>
          </w:tcPr>
          <w:p w:rsidR="00B71BF9" w:rsidRPr="002D21AF" w:rsidRDefault="00B71BF9" w:rsidP="0027039D">
            <w:pPr>
              <w:rPr>
                <w:rFonts w:ascii="Georgia" w:eastAsia="Times New Roman" w:hAnsi="Georgia" w:cs="Arial"/>
                <w:sz w:val="23"/>
                <w:szCs w:val="23"/>
              </w:rPr>
            </w:pPr>
            <w:r>
              <w:rPr>
                <w:rFonts w:ascii="Georgia" w:eastAsia="Times New Roman" w:hAnsi="Georgia" w:cs="Arial"/>
                <w:sz w:val="23"/>
                <w:szCs w:val="23"/>
              </w:rPr>
              <w:t>30 day termination notice with 14 day option to remedy, RS referral. If remedied, resident placed on 6 month probation period</w:t>
            </w:r>
          </w:p>
        </w:tc>
      </w:tr>
      <w:tr w:rsidR="00B71BF9" w:rsidRPr="002D21AF" w:rsidTr="0027039D">
        <w:tc>
          <w:tcPr>
            <w:tcW w:w="2358" w:type="dxa"/>
          </w:tcPr>
          <w:p w:rsidR="00B71BF9" w:rsidRPr="002D21AF" w:rsidRDefault="00B71BF9" w:rsidP="0027039D">
            <w:pPr>
              <w:rPr>
                <w:rFonts w:ascii="Georgia" w:eastAsia="Times New Roman" w:hAnsi="Georgia" w:cs="Arial"/>
                <w:sz w:val="23"/>
                <w:szCs w:val="23"/>
              </w:rPr>
            </w:pPr>
            <w:r>
              <w:rPr>
                <w:rFonts w:ascii="Georgia" w:eastAsia="Times New Roman" w:hAnsi="Georgia" w:cs="Arial"/>
                <w:sz w:val="23"/>
                <w:szCs w:val="23"/>
              </w:rPr>
              <w:t>5</w:t>
            </w:r>
            <w:r w:rsidRPr="002D21AF">
              <w:rPr>
                <w:rFonts w:ascii="Georgia" w:eastAsia="Times New Roman" w:hAnsi="Georgia" w:cs="Arial"/>
                <w:sz w:val="23"/>
                <w:szCs w:val="23"/>
              </w:rPr>
              <w:t>th Violation</w:t>
            </w:r>
          </w:p>
        </w:tc>
        <w:tc>
          <w:tcPr>
            <w:tcW w:w="7218" w:type="dxa"/>
          </w:tcPr>
          <w:p w:rsidR="00B71BF9" w:rsidRPr="002D21AF" w:rsidRDefault="00B71BF9" w:rsidP="0027039D">
            <w:pPr>
              <w:rPr>
                <w:rFonts w:ascii="Georgia" w:eastAsia="Times New Roman" w:hAnsi="Georgia" w:cs="Arial"/>
                <w:sz w:val="23"/>
                <w:szCs w:val="23"/>
              </w:rPr>
            </w:pPr>
            <w:r>
              <w:rPr>
                <w:rFonts w:ascii="Georgia" w:eastAsia="Times New Roman" w:hAnsi="Georgia" w:cs="Arial"/>
                <w:sz w:val="23"/>
                <w:szCs w:val="23"/>
              </w:rPr>
              <w:t>If repeat violation occurs within 6 month probation period, issue a 10 day termination notice</w:t>
            </w:r>
          </w:p>
        </w:tc>
      </w:tr>
    </w:tbl>
    <w:p w:rsidR="00B71BF9" w:rsidRPr="00F7558A" w:rsidRDefault="00B71BF9" w:rsidP="00B71BF9">
      <w:pPr>
        <w:rPr>
          <w:rFonts w:ascii="Georgia" w:eastAsia="Times New Roman" w:hAnsi="Georgia" w:cs="Arial"/>
          <w:sz w:val="24"/>
          <w:szCs w:val="24"/>
        </w:rPr>
      </w:pPr>
    </w:p>
    <w:p w:rsidR="00B71BF9" w:rsidRDefault="00B71BF9" w:rsidP="00B71BF9">
      <w:pPr>
        <w:rPr>
          <w:rFonts w:ascii="Georgia" w:hAnsi="Georgia" w:cs="Candara"/>
          <w:color w:val="000000"/>
          <w:sz w:val="18"/>
          <w:szCs w:val="18"/>
        </w:rPr>
      </w:pPr>
      <w:r>
        <w:rPr>
          <w:rFonts w:ascii="Georgia" w:hAnsi="Georgia" w:cs="Candara"/>
          <w:color w:val="000000"/>
        </w:rPr>
        <w:t>*</w:t>
      </w:r>
      <w:r w:rsidRPr="005E6F04">
        <w:rPr>
          <w:rFonts w:ascii="Georgia" w:hAnsi="Georgia" w:cs="Candara"/>
          <w:color w:val="000000"/>
          <w:sz w:val="16"/>
          <w:szCs w:val="16"/>
        </w:rPr>
        <w:t>Source: My Smokefreehousing.org and</w:t>
      </w:r>
      <w:r>
        <w:rPr>
          <w:rFonts w:ascii="Georgia" w:hAnsi="Georgia" w:cs="Candara"/>
          <w:color w:val="000000"/>
          <w:sz w:val="16"/>
          <w:szCs w:val="16"/>
        </w:rPr>
        <w:t xml:space="preserve"> </w:t>
      </w:r>
      <w:r w:rsidRPr="005E6F04">
        <w:rPr>
          <w:rFonts w:ascii="Georgia" w:hAnsi="Georgia" w:cs="Candara"/>
          <w:color w:val="000000"/>
          <w:sz w:val="16"/>
          <w:szCs w:val="16"/>
        </w:rPr>
        <w:t>Home Forward, Portland, OR</w:t>
      </w:r>
    </w:p>
    <w:p w:rsidR="00DF0556" w:rsidRPr="00B71BF9" w:rsidRDefault="00B71BF9" w:rsidP="00B71BF9">
      <w:bookmarkStart w:id="0" w:name="_GoBack"/>
      <w:bookmarkEnd w:id="0"/>
    </w:p>
    <w:sectPr w:rsidR="00DF0556" w:rsidRPr="00B71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893"/>
    <w:multiLevelType w:val="hybridMultilevel"/>
    <w:tmpl w:val="ECF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61A67"/>
    <w:multiLevelType w:val="hybridMultilevel"/>
    <w:tmpl w:val="2BE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77FA0"/>
    <w:multiLevelType w:val="hybridMultilevel"/>
    <w:tmpl w:val="F42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9525C"/>
    <w:multiLevelType w:val="hybridMultilevel"/>
    <w:tmpl w:val="9E6C02CE"/>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F18A8"/>
    <w:multiLevelType w:val="hybridMultilevel"/>
    <w:tmpl w:val="15CC86DA"/>
    <w:lvl w:ilvl="0" w:tplc="496ADAB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57D20"/>
    <w:multiLevelType w:val="hybridMultilevel"/>
    <w:tmpl w:val="26F0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E0D50"/>
    <w:multiLevelType w:val="hybridMultilevel"/>
    <w:tmpl w:val="B436E8F0"/>
    <w:lvl w:ilvl="0" w:tplc="496ADABA">
      <w:start w:val="1"/>
      <w:numFmt w:val="bullet"/>
      <w:lvlText w:val="o"/>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A"/>
    <w:rsid w:val="00092B6D"/>
    <w:rsid w:val="002B6086"/>
    <w:rsid w:val="00591439"/>
    <w:rsid w:val="008042CD"/>
    <w:rsid w:val="008518B3"/>
    <w:rsid w:val="00A964B8"/>
    <w:rsid w:val="00B71BF9"/>
    <w:rsid w:val="00D61D53"/>
    <w:rsid w:val="00E0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2CD"/>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 w:type="table" w:customStyle="1" w:styleId="LightGrid1">
    <w:name w:val="Light Grid1"/>
    <w:basedOn w:val="TableNormal"/>
    <w:uiPriority w:val="62"/>
    <w:rsid w:val="002B6086"/>
    <w:pPr>
      <w:ind w:right="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042C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042CD"/>
    <w:pPr>
      <w:widowControl w:val="0"/>
      <w:ind w:left="2276"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42CD"/>
    <w:rPr>
      <w:rFonts w:ascii="Times New Roman" w:eastAsia="Times New Roman" w:hAnsi="Times New Roman"/>
      <w:sz w:val="24"/>
      <w:szCs w:val="24"/>
    </w:rPr>
  </w:style>
  <w:style w:type="table" w:styleId="TableGrid">
    <w:name w:val="Table Grid"/>
    <w:basedOn w:val="TableNormal"/>
    <w:uiPriority w:val="59"/>
    <w:rsid w:val="00B71BF9"/>
    <w:pPr>
      <w:ind w:right="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4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2CD"/>
    <w:pPr>
      <w:keepNext/>
      <w:keepLines/>
      <w:spacing w:before="480" w:line="276" w:lineRule="auto"/>
      <w:ind w:right="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6D"/>
    <w:pPr>
      <w:spacing w:after="160" w:line="259" w:lineRule="auto"/>
      <w:ind w:left="720" w:right="0"/>
      <w:contextualSpacing/>
    </w:pPr>
  </w:style>
  <w:style w:type="table" w:customStyle="1" w:styleId="LightGrid1">
    <w:name w:val="Light Grid1"/>
    <w:basedOn w:val="TableNormal"/>
    <w:uiPriority w:val="62"/>
    <w:rsid w:val="002B6086"/>
    <w:pPr>
      <w:ind w:right="0"/>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042C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042CD"/>
    <w:pPr>
      <w:widowControl w:val="0"/>
      <w:ind w:left="2276"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042CD"/>
    <w:rPr>
      <w:rFonts w:ascii="Times New Roman" w:eastAsia="Times New Roman" w:hAnsi="Times New Roman"/>
      <w:sz w:val="24"/>
      <w:szCs w:val="24"/>
    </w:rPr>
  </w:style>
  <w:style w:type="table" w:styleId="TableGrid">
    <w:name w:val="Table Grid"/>
    <w:basedOn w:val="TableNormal"/>
    <w:uiPriority w:val="59"/>
    <w:rsid w:val="00B71BF9"/>
    <w:pPr>
      <w:ind w:right="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cp:revision>
  <dcterms:created xsi:type="dcterms:W3CDTF">2016-09-18T07:04:00Z</dcterms:created>
  <dcterms:modified xsi:type="dcterms:W3CDTF">2016-09-18T07:04:00Z</dcterms:modified>
</cp:coreProperties>
</file>